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pStyle w:val="Title"/>
        <w:rPr/>
      </w:pPr>
      <w:bookmarkStart w:colFirst="0" w:colLast="0" w:name="_heading=h.30j0zll" w:id="1"/>
      <w:bookmarkEnd w:id="1"/>
      <w:r w:rsidDel="00000000" w:rsidR="00000000" w:rsidRPr="00000000">
        <w:rPr>
          <w:rtl w:val="0"/>
        </w:rPr>
        <w:t xml:space="preserve">Hito 7: Carga de primera información de contrataciones de proyectos</w:t>
      </w:r>
    </w:p>
    <w:p w:rsidR="00000000" w:rsidDel="00000000" w:rsidP="00000000" w:rsidRDefault="00000000" w:rsidRPr="00000000" w14:paraId="00000003">
      <w:pPr>
        <w:pStyle w:val="Subtitle"/>
        <w:rPr>
          <w:sz w:val="32"/>
          <w:szCs w:val="32"/>
        </w:rPr>
      </w:pPr>
      <w:bookmarkStart w:colFirst="0" w:colLast="0" w:name="_heading=h.1fob9te" w:id="2"/>
      <w:bookmarkEnd w:id="2"/>
      <w:r w:rsidDel="00000000" w:rsidR="00000000" w:rsidRPr="00000000">
        <w:rPr>
          <w:rtl w:val="0"/>
        </w:rPr>
        <w:t xml:space="preserve">Sistema de contratación abierta para presupuestos participativos</w:t>
      </w:r>
      <w:r w:rsidDel="00000000" w:rsidR="00000000" w:rsidRPr="00000000">
        <w:rPr>
          <w:rtl w:val="0"/>
        </w:rPr>
      </w:r>
    </w:p>
    <w:p w:rsidR="00000000" w:rsidDel="00000000" w:rsidP="00000000" w:rsidRDefault="00000000" w:rsidRPr="00000000" w14:paraId="00000004">
      <w:pPr>
        <w:pStyle w:val="Heading1"/>
        <w:rPr>
          <w:sz w:val="32"/>
          <w:szCs w:val="32"/>
        </w:rPr>
      </w:pPr>
      <w:bookmarkStart w:colFirst="0" w:colLast="0" w:name="_heading=h.2et92p0" w:id="3"/>
      <w:bookmarkEnd w:id="3"/>
      <w:r w:rsidDel="00000000" w:rsidR="00000000" w:rsidRPr="00000000">
        <w:rPr>
          <w:sz w:val="32"/>
          <w:szCs w:val="32"/>
          <w:rtl w:val="0"/>
        </w:rPr>
        <w:t xml:space="preserve">Introducción</w:t>
      </w:r>
    </w:p>
    <w:p w:rsidR="00000000" w:rsidDel="00000000" w:rsidP="00000000" w:rsidRDefault="00000000" w:rsidRPr="00000000" w14:paraId="00000005">
      <w:pPr>
        <w:rPr/>
      </w:pPr>
      <w:r w:rsidDel="00000000" w:rsidR="00000000" w:rsidRPr="00000000">
        <w:rPr>
          <w:rtl w:val="0"/>
        </w:rPr>
        <w:t xml:space="preserve">El presente documento muestra el trabajo realizado por parte de la Secretaría de Innovación y Participación Ciudadana para cumplir con el </w:t>
      </w:r>
      <w:r w:rsidDel="00000000" w:rsidR="00000000" w:rsidRPr="00000000">
        <w:rPr>
          <w:b w:val="1"/>
          <w:rtl w:val="0"/>
        </w:rPr>
        <w:t xml:space="preserve">HITO 7</w:t>
      </w:r>
      <w:r w:rsidDel="00000000" w:rsidR="00000000" w:rsidRPr="00000000">
        <w:rPr>
          <w:rtl w:val="0"/>
        </w:rPr>
        <w:t xml:space="preserve"> del compromiso del </w:t>
      </w:r>
      <w:r w:rsidDel="00000000" w:rsidR="00000000" w:rsidRPr="00000000">
        <w:rPr>
          <w:b w:val="1"/>
          <w:rtl w:val="0"/>
        </w:rPr>
        <w:t xml:space="preserve">Sistema de contratación abierta para presupuestos participativos</w:t>
      </w:r>
      <w:r w:rsidDel="00000000" w:rsidR="00000000" w:rsidRPr="00000000">
        <w:rPr>
          <w:rtl w:val="0"/>
        </w:rPr>
        <w:t xml:space="preserve"> de la Coalición Nuevo León Abierto. En este documento se desarrolla lo que se ha logrado hacer en cuanto a la publicación de información de contrataciones abiertas de los proyectos ganadores durante el ejercicio vigente de presupuesto participativo liderado por la Secretaría de Innovación y Participación Ciudadana.</w:t>
      </w:r>
    </w:p>
    <w:p w:rsidR="00000000" w:rsidDel="00000000" w:rsidP="00000000" w:rsidRDefault="00000000" w:rsidRPr="00000000" w14:paraId="00000006">
      <w:pPr>
        <w:pStyle w:val="Heading1"/>
        <w:rPr>
          <w:sz w:val="32"/>
          <w:szCs w:val="32"/>
        </w:rPr>
      </w:pPr>
      <w:bookmarkStart w:colFirst="0" w:colLast="0" w:name="_heading=h.tyjcwt" w:id="4"/>
      <w:bookmarkEnd w:id="4"/>
      <w:r w:rsidDel="00000000" w:rsidR="00000000" w:rsidRPr="00000000">
        <w:rPr>
          <w:sz w:val="32"/>
          <w:szCs w:val="32"/>
          <w:rtl w:val="0"/>
        </w:rPr>
        <w:t xml:space="preserve">Publicación</w:t>
      </w:r>
    </w:p>
    <w:p w:rsidR="00000000" w:rsidDel="00000000" w:rsidP="00000000" w:rsidRDefault="00000000" w:rsidRPr="00000000" w14:paraId="00000007">
      <w:pPr>
        <w:ind w:left="0" w:firstLine="0"/>
        <w:rPr>
          <w:i w:val="1"/>
          <w:sz w:val="20"/>
          <w:szCs w:val="20"/>
        </w:rPr>
      </w:pPr>
      <w:r w:rsidDel="00000000" w:rsidR="00000000" w:rsidRPr="00000000">
        <w:rPr>
          <w:rtl w:val="0"/>
        </w:rPr>
        <w:t xml:space="preserve">El </w:t>
      </w:r>
      <w:r w:rsidDel="00000000" w:rsidR="00000000" w:rsidRPr="00000000">
        <w:rPr>
          <w:b w:val="1"/>
          <w:rtl w:val="0"/>
        </w:rPr>
        <w:t xml:space="preserve">Sistema de contratación abierta para presupuestos participativos</w:t>
      </w:r>
      <w:r w:rsidDel="00000000" w:rsidR="00000000" w:rsidRPr="00000000">
        <w:rPr>
          <w:rtl w:val="0"/>
        </w:rPr>
        <w:t xml:space="preserve"> contempla una publicación continua del avance y seguimiento de los proyectos ganadores del presupuesto participativo en su edición 2023, la página principal del proyecto de presupuesto participativo se encuentra en el siguiente enlace </w:t>
      </w:r>
      <w:hyperlink r:id="rId7">
        <w:r w:rsidDel="00000000" w:rsidR="00000000" w:rsidRPr="00000000">
          <w:rPr>
            <w:color w:val="1155cc"/>
            <w:u w:val="single"/>
            <w:rtl w:val="0"/>
          </w:rPr>
          <w:t xml:space="preserve">https://decide.sanpedro.gob.mx</w:t>
        </w:r>
      </w:hyperlink>
      <w:r w:rsidDel="00000000" w:rsidR="00000000" w:rsidRPr="00000000">
        <w:rPr>
          <w:i w:val="1"/>
          <w:sz w:val="20"/>
          <w:szCs w:val="20"/>
          <w:rtl w:val="0"/>
        </w:rPr>
        <w:t xml:space="preserve">.</w:t>
      </w:r>
    </w:p>
    <w:p w:rsidR="00000000" w:rsidDel="00000000" w:rsidP="00000000" w:rsidRDefault="00000000" w:rsidRPr="00000000" w14:paraId="00000008">
      <w:pPr>
        <w:pStyle w:val="Heading3"/>
        <w:rPr/>
      </w:pPr>
      <w:bookmarkStart w:colFirst="0" w:colLast="0" w:name="_heading=h.m8tv2qr1jjz8" w:id="5"/>
      <w:bookmarkEnd w:id="5"/>
      <w:r w:rsidDel="00000000" w:rsidR="00000000" w:rsidRPr="00000000">
        <w:rPr>
          <w:rtl w:val="0"/>
        </w:rPr>
        <w:t xml:space="preserve">Listado de proyectos</w:t>
      </w:r>
    </w:p>
    <w:p w:rsidR="00000000" w:rsidDel="00000000" w:rsidP="00000000" w:rsidRDefault="00000000" w:rsidRPr="00000000" w14:paraId="00000009">
      <w:pPr>
        <w:rPr/>
      </w:pPr>
      <w:r w:rsidDel="00000000" w:rsidR="00000000" w:rsidRPr="00000000">
        <w:rPr>
          <w:rtl w:val="0"/>
        </w:rPr>
        <w:t xml:space="preserve">En el siguiente enlace, se encuentra el listado de proyectos ganadores del presupuesto participativo 2023, estos proyectos tendrán dentro de su seguimiento la homologación con el Estándar de Datos para las Contrataciones Abiertas: </w:t>
      </w:r>
      <w:hyperlink r:id="rId8">
        <w:r w:rsidDel="00000000" w:rsidR="00000000" w:rsidRPr="00000000">
          <w:rPr>
            <w:color w:val="1155cc"/>
            <w:u w:val="single"/>
            <w:rtl w:val="0"/>
          </w:rPr>
          <w:t xml:space="preserve">Archivo sheets - Google Drive. </w:t>
        </w:r>
      </w:hyperlink>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Style w:val="Heading3"/>
        <w:rPr/>
      </w:pPr>
      <w:bookmarkStart w:colFirst="0" w:colLast="0" w:name="_heading=h.krrv9gd65ohp" w:id="6"/>
      <w:bookmarkEnd w:id="6"/>
      <w:r w:rsidDel="00000000" w:rsidR="00000000" w:rsidRPr="00000000">
        <w:rPr>
          <w:rtl w:val="0"/>
        </w:rPr>
        <w:t xml:space="preserve">Avance de proyectos</w:t>
      </w:r>
    </w:p>
    <w:p w:rsidR="00000000" w:rsidDel="00000000" w:rsidP="00000000" w:rsidRDefault="00000000" w:rsidRPr="00000000" w14:paraId="0000000C">
      <w:pPr>
        <w:rPr/>
      </w:pPr>
      <w:r w:rsidDel="00000000" w:rsidR="00000000" w:rsidRPr="00000000">
        <w:rPr>
          <w:rtl w:val="0"/>
        </w:rPr>
        <w:t xml:space="preserve">El proceso de presupuesto participativo muestra los siguientes datos de avance: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numPr>
          <w:ilvl w:val="0"/>
          <w:numId w:val="1"/>
        </w:numPr>
        <w:ind w:left="720" w:hanging="360"/>
        <w:rPr>
          <w:u w:val="none"/>
        </w:rPr>
      </w:pPr>
      <w:r w:rsidDel="00000000" w:rsidR="00000000" w:rsidRPr="00000000">
        <w:rPr>
          <w:b w:val="1"/>
          <w:rtl w:val="0"/>
        </w:rPr>
        <w:t xml:space="preserve">66</w:t>
      </w:r>
      <w:r w:rsidDel="00000000" w:rsidR="00000000" w:rsidRPr="00000000">
        <w:rPr>
          <w:rtl w:val="0"/>
        </w:rPr>
        <w:t xml:space="preserve"> proyectos de presupuesto participativo identificados como ganadores</w:t>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De los 66 proyectos, se van a adquirir </w:t>
      </w:r>
      <w:r w:rsidDel="00000000" w:rsidR="00000000" w:rsidRPr="00000000">
        <w:rPr>
          <w:b w:val="1"/>
          <w:rtl w:val="0"/>
        </w:rPr>
        <w:t xml:space="preserve">165</w:t>
      </w:r>
      <w:r w:rsidDel="00000000" w:rsidR="00000000" w:rsidRPr="00000000">
        <w:rPr>
          <w:rtl w:val="0"/>
        </w:rPr>
        <w:t xml:space="preserve"> productos</w:t>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Únicamente se ha subido información a los siguientes proyectos:</w:t>
      </w:r>
    </w:p>
    <w:p w:rsidR="00000000" w:rsidDel="00000000" w:rsidP="00000000" w:rsidRDefault="00000000" w:rsidRPr="00000000" w14:paraId="00000011">
      <w:pPr>
        <w:numPr>
          <w:ilvl w:val="1"/>
          <w:numId w:val="1"/>
        </w:numPr>
        <w:ind w:left="1440" w:hanging="360"/>
        <w:rPr>
          <w:u w:val="none"/>
        </w:rPr>
      </w:pPr>
      <w:hyperlink r:id="rId9">
        <w:r w:rsidDel="00000000" w:rsidR="00000000" w:rsidRPr="00000000">
          <w:rPr>
            <w:color w:val="1155cc"/>
            <w:u w:val="single"/>
            <w:rtl w:val="0"/>
          </w:rPr>
          <w:t xml:space="preserve">https://decide.sanpedro.gob.mx/presupuestos/11/investments/2411</w:t>
        </w:r>
      </w:hyperlink>
      <w:r w:rsidDel="00000000" w:rsidR="00000000" w:rsidRPr="00000000">
        <w:rPr>
          <w:rtl w:val="0"/>
        </w:rPr>
      </w:r>
    </w:p>
    <w:p w:rsidR="00000000" w:rsidDel="00000000" w:rsidP="00000000" w:rsidRDefault="00000000" w:rsidRPr="00000000" w14:paraId="00000012">
      <w:pPr>
        <w:numPr>
          <w:ilvl w:val="1"/>
          <w:numId w:val="1"/>
        </w:numPr>
        <w:ind w:left="1440" w:hanging="360"/>
        <w:rPr>
          <w:u w:val="none"/>
        </w:rPr>
      </w:pPr>
      <w:hyperlink r:id="rId10">
        <w:r w:rsidDel="00000000" w:rsidR="00000000" w:rsidRPr="00000000">
          <w:rPr>
            <w:color w:val="1155cc"/>
            <w:u w:val="single"/>
            <w:rtl w:val="0"/>
          </w:rPr>
          <w:t xml:space="preserve">https://decide.sanpedro.gob.mx/presupuestos/11/investments/2462</w:t>
        </w:r>
      </w:hyperlink>
      <w:r w:rsidDel="00000000" w:rsidR="00000000" w:rsidRPr="00000000">
        <w:rPr>
          <w:rtl w:val="0"/>
        </w:rPr>
      </w:r>
    </w:p>
    <w:p w:rsidR="00000000" w:rsidDel="00000000" w:rsidP="00000000" w:rsidRDefault="00000000" w:rsidRPr="00000000" w14:paraId="00000013">
      <w:pPr>
        <w:numPr>
          <w:ilvl w:val="1"/>
          <w:numId w:val="1"/>
        </w:numPr>
        <w:ind w:left="1440" w:hanging="360"/>
        <w:rPr>
          <w:u w:val="none"/>
        </w:rPr>
      </w:pPr>
      <w:hyperlink r:id="rId11">
        <w:r w:rsidDel="00000000" w:rsidR="00000000" w:rsidRPr="00000000">
          <w:rPr>
            <w:color w:val="1155cc"/>
            <w:u w:val="single"/>
            <w:rtl w:val="0"/>
          </w:rPr>
          <w:t xml:space="preserve">https://decide.sanpedro.gob.mx/presupuestos/11/investments/2463</w:t>
        </w:r>
      </w:hyperlink>
      <w:r w:rsidDel="00000000" w:rsidR="00000000" w:rsidRPr="00000000">
        <w:rPr>
          <w:rtl w:val="0"/>
        </w:rPr>
      </w:r>
    </w:p>
    <w:p w:rsidR="00000000" w:rsidDel="00000000" w:rsidP="00000000" w:rsidRDefault="00000000" w:rsidRPr="00000000" w14:paraId="00000014">
      <w:pPr>
        <w:numPr>
          <w:ilvl w:val="1"/>
          <w:numId w:val="1"/>
        </w:numPr>
        <w:ind w:left="1440" w:hanging="360"/>
        <w:rPr>
          <w:u w:val="none"/>
        </w:rPr>
      </w:pPr>
      <w:hyperlink r:id="rId12">
        <w:r w:rsidDel="00000000" w:rsidR="00000000" w:rsidRPr="00000000">
          <w:rPr>
            <w:color w:val="1155cc"/>
            <w:u w:val="single"/>
            <w:rtl w:val="0"/>
          </w:rPr>
          <w:t xml:space="preserve">https://decide.sanpedro.gob.mx/presupuestos/11/investments/2533</w:t>
        </w:r>
      </w:hyperlink>
      <w:r w:rsidDel="00000000" w:rsidR="00000000" w:rsidRPr="00000000">
        <w:rPr>
          <w:rtl w:val="0"/>
        </w:rPr>
      </w:r>
    </w:p>
    <w:p w:rsidR="00000000" w:rsidDel="00000000" w:rsidP="00000000" w:rsidRDefault="00000000" w:rsidRPr="00000000" w14:paraId="00000015">
      <w:pPr>
        <w:numPr>
          <w:ilvl w:val="1"/>
          <w:numId w:val="1"/>
        </w:numPr>
        <w:ind w:left="1440" w:hanging="360"/>
        <w:rPr>
          <w:u w:val="none"/>
        </w:rPr>
      </w:pPr>
      <w:hyperlink r:id="rId13">
        <w:r w:rsidDel="00000000" w:rsidR="00000000" w:rsidRPr="00000000">
          <w:rPr>
            <w:color w:val="1155cc"/>
            <w:u w:val="single"/>
            <w:rtl w:val="0"/>
          </w:rPr>
          <w:t xml:space="preserve">https://decide.sanpedro.gob.mx/presupuestos/11/investments/2624</w:t>
        </w:r>
      </w:hyperlink>
      <w:r w:rsidDel="00000000" w:rsidR="00000000" w:rsidRPr="00000000">
        <w:rPr>
          <w:rtl w:val="0"/>
        </w:rPr>
      </w:r>
    </w:p>
    <w:p w:rsidR="00000000" w:rsidDel="00000000" w:rsidP="00000000" w:rsidRDefault="00000000" w:rsidRPr="00000000" w14:paraId="00000016">
      <w:pPr>
        <w:pStyle w:val="Heading1"/>
        <w:rPr>
          <w:sz w:val="32"/>
          <w:szCs w:val="32"/>
        </w:rPr>
      </w:pPr>
      <w:bookmarkStart w:colFirst="0" w:colLast="0" w:name="_heading=h.1t3h5sf" w:id="7"/>
      <w:bookmarkEnd w:id="7"/>
      <w:r w:rsidDel="00000000" w:rsidR="00000000" w:rsidRPr="00000000">
        <w:rPr>
          <w:sz w:val="32"/>
          <w:szCs w:val="32"/>
          <w:rtl w:val="0"/>
        </w:rPr>
        <w:t xml:space="preserve">Conclusiones</w:t>
      </w:r>
    </w:p>
    <w:p w:rsidR="00000000" w:rsidDel="00000000" w:rsidP="00000000" w:rsidRDefault="00000000" w:rsidRPr="00000000" w14:paraId="00000017">
      <w:pPr>
        <w:rPr/>
      </w:pPr>
      <w:r w:rsidDel="00000000" w:rsidR="00000000" w:rsidRPr="00000000">
        <w:rPr>
          <w:rtl w:val="0"/>
        </w:rPr>
        <w:t xml:space="preserve">En general, la adopción del </w:t>
      </w:r>
      <w:r w:rsidDel="00000000" w:rsidR="00000000" w:rsidRPr="00000000">
        <w:rPr>
          <w:b w:val="1"/>
          <w:rtl w:val="0"/>
        </w:rPr>
        <w:t xml:space="preserve">Sistema de contratación abierta para presupuestos participativos</w:t>
      </w:r>
      <w:r w:rsidDel="00000000" w:rsidR="00000000" w:rsidRPr="00000000">
        <w:rPr>
          <w:rtl w:val="0"/>
        </w:rPr>
        <w:t xml:space="preserve"> sigue en marcha y la plataforma se encuentra en uso y actualización de información de acuerdo al avance y seguimiento de los proyectos ganadores de presupuesto participativo a través de la Coordinación de Presupuesto Participativo y las áreas operativas.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sectPr>
      <w:headerReference r:id="rId14" w:type="default"/>
      <w:footerReference r:id="rId15" w:type="default"/>
      <w:pgSz w:h="11909" w:w="16834" w:orient="landscape"/>
      <w:pgMar w:bottom="1133.8582677165355" w:top="1133.8582677165355" w:left="1133.8582677165355" w:right="1133.8582677165355" w:header="680.3149606299213" w:footer="680.314960629921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jc w:val="right"/>
      <w:rPr>
        <w:rFonts w:ascii="Source Sans Pro" w:cs="Source Sans Pro" w:eastAsia="Source Sans Pro" w:hAnsi="Source Sans Pro"/>
        <w:b w:val="1"/>
        <w:color w:val="404040"/>
      </w:rPr>
    </w:pPr>
    <w:r w:rsidDel="00000000" w:rsidR="00000000" w:rsidRPr="00000000">
      <w:rPr>
        <w:rtl w:val="0"/>
      </w:rPr>
      <w:t xml:space="preserve"> </w:t>
    </w:r>
    <w:r w:rsidDel="00000000" w:rsidR="00000000" w:rsidRPr="00000000">
      <w:rPr>
        <w:rFonts w:ascii="Source Sans Pro" w:cs="Source Sans Pro" w:eastAsia="Source Sans Pro" w:hAnsi="Source Sans Pro"/>
        <w:b w:val="1"/>
        <w:color w:val="404040"/>
        <w:sz w:val="24"/>
        <w:szCs w:val="24"/>
        <w:rtl w:val="0"/>
      </w:rPr>
      <w:t xml:space="preserve">C</w:t>
    </w:r>
    <w:r w:rsidDel="00000000" w:rsidR="00000000" w:rsidRPr="00000000">
      <w:rPr>
        <w:rFonts w:ascii="Source Sans Pro" w:cs="Source Sans Pro" w:eastAsia="Source Sans Pro" w:hAnsi="Source Sans Pro"/>
        <w:b w:val="1"/>
        <w:color w:val="404040"/>
        <w:rtl w:val="0"/>
      </w:rPr>
      <w:t xml:space="preserve">oalición Nuevo León Abierto</w:t>
    </w:r>
    <w:r w:rsidDel="00000000" w:rsidR="00000000" w:rsidRPr="00000000">
      <w:drawing>
        <wp:anchor allowOverlap="1" behindDoc="1" distB="0" distT="0" distL="0" distR="0" hidden="0" layoutInCell="1" locked="0" relativeHeight="0" simplePos="0">
          <wp:simplePos x="0" y="0"/>
          <wp:positionH relativeFrom="column">
            <wp:posOffset>-49460</wp:posOffset>
          </wp:positionH>
          <wp:positionV relativeFrom="paragraph">
            <wp:posOffset>-295271</wp:posOffset>
          </wp:positionV>
          <wp:extent cx="1466850" cy="397238"/>
          <wp:effectExtent b="0" l="0" r="0" t="0"/>
          <wp:wrapNone/>
          <wp:docPr id="9" name="image1.png"/>
          <a:graphic>
            <a:graphicData uri="http://schemas.openxmlformats.org/drawingml/2006/picture">
              <pic:pic>
                <pic:nvPicPr>
                  <pic:cNvPr id="0" name="image1.png"/>
                  <pic:cNvPicPr preferRelativeResize="0"/>
                </pic:nvPicPr>
                <pic:blipFill>
                  <a:blip r:embed="rId1"/>
                  <a:srcRect b="7322" l="0" r="0" t="0"/>
                  <a:stretch>
                    <a:fillRect/>
                  </a:stretch>
                </pic:blipFill>
                <pic:spPr>
                  <a:xfrm>
                    <a:off x="0" y="0"/>
                    <a:ext cx="1466850" cy="397238"/>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-9521</wp:posOffset>
          </wp:positionH>
          <wp:positionV relativeFrom="paragraph">
            <wp:posOffset>245931</wp:posOffset>
          </wp:positionV>
          <wp:extent cx="1056413" cy="561637"/>
          <wp:effectExtent b="0" l="0" r="0" t="0"/>
          <wp:wrapNone/>
          <wp:docPr id="10"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056413" cy="561637"/>
                  </a:xfrm>
                  <a:prstGeom prst="rect"/>
                  <a:ln/>
                </pic:spPr>
              </pic:pic>
            </a:graphicData>
          </a:graphic>
        </wp:anchor>
      </w:drawing>
    </w:r>
  </w:p>
  <w:p w:rsidR="00000000" w:rsidDel="00000000" w:rsidP="00000000" w:rsidRDefault="00000000" w:rsidRPr="00000000" w14:paraId="0000001D">
    <w:pPr>
      <w:spacing w:line="240" w:lineRule="auto"/>
      <w:jc w:val="right"/>
      <w:rPr>
        <w:rFonts w:ascii="Source Sans Pro" w:cs="Source Sans Pro" w:eastAsia="Source Sans Pro" w:hAnsi="Source Sans Pro"/>
        <w:color w:val="404040"/>
        <w:sz w:val="18"/>
        <w:szCs w:val="18"/>
      </w:rPr>
    </w:pPr>
    <w:r w:rsidDel="00000000" w:rsidR="00000000" w:rsidRPr="00000000">
      <w:rPr>
        <w:rFonts w:ascii="Source Sans Pro" w:cs="Source Sans Pro" w:eastAsia="Source Sans Pro" w:hAnsi="Source Sans Pro"/>
        <w:color w:val="404040"/>
        <w:sz w:val="18"/>
        <w:szCs w:val="18"/>
        <w:rtl w:val="0"/>
      </w:rPr>
      <w:t xml:space="preserve">Plan de Acción Local de Gobierno Abierto 2022 – 2024 de Nuevo León</w:t>
    </w:r>
  </w:p>
  <w:p w:rsidR="00000000" w:rsidDel="00000000" w:rsidP="00000000" w:rsidRDefault="00000000" w:rsidRPr="00000000" w14:paraId="0000001E">
    <w:pPr>
      <w:spacing w:line="240" w:lineRule="auto"/>
      <w:jc w:val="right"/>
      <w:rPr>
        <w:rFonts w:ascii="Source Sans Pro" w:cs="Source Sans Pro" w:eastAsia="Source Sans Pro" w:hAnsi="Source Sans Pro"/>
        <w:color w:val="404040"/>
        <w:sz w:val="18"/>
        <w:szCs w:val="18"/>
      </w:rPr>
    </w:pPr>
    <w:r w:rsidDel="00000000" w:rsidR="00000000" w:rsidRPr="00000000">
      <w:rPr>
        <w:rtl w:val="0"/>
      </w:rPr>
    </w:r>
  </w:p>
  <w:p w:rsidR="00000000" w:rsidDel="00000000" w:rsidP="00000000" w:rsidRDefault="00000000" w:rsidRPr="00000000" w14:paraId="0000001F">
    <w:pPr>
      <w:spacing w:line="240" w:lineRule="auto"/>
      <w:jc w:val="right"/>
      <w:rPr>
        <w:rFonts w:ascii="Source Sans Pro" w:cs="Source Sans Pro" w:eastAsia="Source Sans Pro" w:hAnsi="Source Sans Pro"/>
        <w:color w:val="404040"/>
        <w:sz w:val="18"/>
        <w:szCs w:val="18"/>
      </w:rPr>
    </w:pPr>
    <w:r w:rsidDel="00000000" w:rsidR="00000000" w:rsidRPr="00000000">
      <w:rPr>
        <w:rFonts w:ascii="Source Sans Pro" w:cs="Source Sans Pro" w:eastAsia="Source Sans Pro" w:hAnsi="Source Sans Pro"/>
        <w:color w:val="404040"/>
        <w:sz w:val="18"/>
        <w:szCs w:val="18"/>
        <w:rtl w:val="0"/>
      </w:rPr>
      <w:t xml:space="preserve">Ficha de verificación de entregable de hito</w:t>
    </w:r>
  </w:p>
  <w:p w:rsidR="00000000" w:rsidDel="00000000" w:rsidP="00000000" w:rsidRDefault="00000000" w:rsidRPr="00000000" w14:paraId="00000020">
    <w:pPr>
      <w:spacing w:line="240" w:lineRule="auto"/>
      <w:jc w:val="right"/>
      <w:rPr>
        <w:sz w:val="20"/>
        <w:szCs w:val="20"/>
      </w:rPr>
    </w:pPr>
    <w:r w:rsidDel="00000000" w:rsidR="00000000" w:rsidRPr="00000000">
      <w:rPr>
        <w:rFonts w:ascii="Source Sans Pro" w:cs="Source Sans Pro" w:eastAsia="Source Sans Pro" w:hAnsi="Source Sans Pro"/>
        <w:b w:val="1"/>
        <w:color w:val="404040"/>
        <w:sz w:val="18"/>
        <w:szCs w:val="18"/>
        <w:rtl w:val="0"/>
      </w:rPr>
      <w:t xml:space="preserve">Hito 7 - MXSPG0001</w:t>
    </w:r>
    <w:r w:rsidDel="00000000" w:rsidR="00000000" w:rsidRPr="00000000">
      <w:rPr>
        <w:rtl w:val="0"/>
      </w:rPr>
    </w:r>
  </w:p>
  <w:p w:rsidR="00000000" w:rsidDel="00000000" w:rsidP="00000000" w:rsidRDefault="00000000" w:rsidRPr="00000000" w14:paraId="00000021">
    <w:pPr>
      <w:jc w:val="left"/>
      <w:rPr>
        <w:sz w:val="20"/>
        <w:szCs w:val="20"/>
      </w:rPr>
    </w:pPr>
    <w:r w:rsidDel="00000000" w:rsidR="00000000" w:rsidRPr="00000000">
      <w:rPr/>
      <w:pict>
        <v:shape id="WordPictureWatermark1" style="position:absolute;width:372.0pt;height:469.2989763779528pt;rotation:0;z-index:-503316481;mso-position-horizontal-relative:margin;mso-position-horizontal:absolute;margin-left:386.7518897637795pt;mso-position-vertical-relative:margin;mso-position-vertical:absolute;margin-top:1.40251968503937pt;" alt="" type="#_x0000_t75">
          <v:imagedata cropbottom="9553f" cropleft="0f" cropright="0f" croptop="-7738f" r:id="rId3" o:title="image2.png"/>
        </v:shape>
      </w:pict>
    </w:r>
    <w:r w:rsidDel="00000000" w:rsidR="00000000" w:rsidRPr="00000000">
      <w:rPr>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b w:val="1"/>
      <w:sz w:val="24"/>
      <w:szCs w:val="24"/>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b w:val="1"/>
      <w:sz w:val="24"/>
      <w:szCs w:val="24"/>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b w:val="1"/>
      <w:sz w:val="24"/>
      <w:szCs w:val="24"/>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b w:val="1"/>
      <w:sz w:val="24"/>
      <w:szCs w:val="24"/>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decide.sanpedro.gob.mx/presupuestos/11/investments/2463" TargetMode="External"/><Relationship Id="rId10" Type="http://schemas.openxmlformats.org/officeDocument/2006/relationships/hyperlink" Target="https://decide.sanpedro.gob.mx/presupuestos/11/investments/2462" TargetMode="External"/><Relationship Id="rId13" Type="http://schemas.openxmlformats.org/officeDocument/2006/relationships/hyperlink" Target="https://decide.sanpedro.gob.mx/presupuestos/11/investments/2624" TargetMode="External"/><Relationship Id="rId12" Type="http://schemas.openxmlformats.org/officeDocument/2006/relationships/hyperlink" Target="https://decide.sanpedro.gob.mx/presupuestos/11/investments/253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ecide.sanpedro.gob.mx/presupuestos/11/investments/2411"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ecide.sanpedro.gob.mx" TargetMode="External"/><Relationship Id="rId8" Type="http://schemas.openxmlformats.org/officeDocument/2006/relationships/hyperlink" Target="https://docs.google.com/spreadsheets/d/13xji3qargl2Tzg2zEtUrkkxcadfTEQ5_/edit?usp=sharing&amp;ouid=104593955294770669410&amp;rtpof=true&amp;sd=tru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QbTEX6gvlT09IsIS8VSzwmx6FQ==">CgMxLjAyCGguZ2pkZ3hzMgloLjMwajB6bGwyCWguMWZvYjl0ZTIJaC4yZXQ5MnAwMghoLnR5amN3dDIOaC5tOHR2MnFyMWpqejgyDmgua3JydjlnZDY1b2hwMgloLjF0M2g1c2Y4AHIhMUEzZ1ZsQXRyZVlIdldvMklIZEpQY2h4ZXprQl9jLW1Z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